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25D" w:rsidRPr="001D2921" w:rsidRDefault="00B9525D" w:rsidP="004049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139B" w:rsidRPr="001D2921" w:rsidRDefault="00DD139B" w:rsidP="004049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139B" w:rsidRPr="001D2921" w:rsidRDefault="00DD139B" w:rsidP="004049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139B" w:rsidRPr="001D2921" w:rsidRDefault="00DD139B" w:rsidP="004049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D139B" w:rsidRPr="001D2921" w:rsidRDefault="001D2921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5" w:history="1">
        <w:r w:rsidR="00DD139B" w:rsidRPr="001D2921">
          <w:rPr>
            <w:rFonts w:ascii="Times New Roman" w:eastAsia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Maintaining Wellness Paper</w:t>
        </w:r>
      </w:hyperlink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Falichia Williams</w:t>
      </w: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Colorado Christian University</w:t>
      </w: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39B" w:rsidRPr="001D2921" w:rsidRDefault="00DD139B" w:rsidP="004049AB">
      <w:pPr>
        <w:shd w:val="clear" w:color="auto" w:fill="FFFFFF"/>
        <w:spacing w:after="0" w:line="480" w:lineRule="auto"/>
        <w:ind w:right="45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1CDD" w:rsidRPr="001D2921" w:rsidRDefault="00891CDD" w:rsidP="004049AB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1D29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Session 3 Maintaining Wellness Paper </w:t>
      </w:r>
    </w:p>
    <w:p w:rsidR="00C91D82" w:rsidRPr="001D2921" w:rsidRDefault="00C91D82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Introduction</w:t>
      </w:r>
    </w:p>
    <w:p w:rsidR="00C91D82" w:rsidRPr="001D2921" w:rsidRDefault="00C91D82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ACA sets up a Prevention and Public Health Fund that will give $15 billion in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funding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228AF" w:rsidRPr="001D2921">
        <w:rPr>
          <w:rFonts w:ascii="Times New Roman" w:eastAsia="Times New Roman" w:hAnsi="Times New Roman" w:cs="Times New Roman"/>
          <w:bCs/>
          <w:sz w:val="24"/>
          <w:szCs w:val="24"/>
        </w:rPr>
        <w:t>over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10 years to grow and support the important framework to counteract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disease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; identify it early; and, working together with different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system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s in the ACA, oversee conditions before they end up extreme.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Finally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, the ACA approves interest in a large group of different projects, including the Nat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ional Health Service Corps and community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focuses that will reinforce the general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foundation for what's to come. </w:t>
      </w:r>
    </w:p>
    <w:p w:rsidR="00C91D82" w:rsidRPr="001D2921" w:rsidRDefault="00891CDD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Similarly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>, the ACA likewise sets the phase for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Healthy People 2020 (HP2020), released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in December 2010, which sets the national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targets for the decade (HP2020, 2018) and the new HP2020 objectives. These incorporate making social and physical conditions that advance great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advancing personal satisfaction, solid improvement,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value, and sound practices crosswise over life stages. The new cycle expands on the advancing proof base of general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given by the Guide to Community Preventive Services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(Community Preventive Services Guide, 2018), its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companion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Clinical Guide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(U.S Preventive Services, 2018), and related exercises. Taken together, these offer a methodical structure for surveying the adequacy of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public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activities and clinical administrations. The proof base is additionally reinforced by the rise of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sway appraisal and estimating as apparatuses to give the best accessible data on adequacy and greatness of effect (UCLA, 2018). </w:t>
      </w:r>
    </w:p>
    <w:p w:rsidR="004049AB" w:rsidRPr="001D2921" w:rsidRDefault="004049AB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49AB" w:rsidRPr="001D2921" w:rsidRDefault="004049AB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91CDD" w:rsidRPr="001D2921" w:rsidRDefault="004049AB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Comparison</w:t>
      </w:r>
    </w:p>
    <w:p w:rsidR="00C91D82" w:rsidRPr="001D2921" w:rsidRDefault="00891CDD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Disease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prevention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has been professed to lessen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 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costs. Nonetheless, avoiding deadly maladies builds future and, consequently, in a roundabout way expands the interest for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 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. Past examinations have contended that on equalization averting sicknesses that lessen life span expands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costs while forestalling non-lethal illnesses could prompt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 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reserve funds. There with respect to the patient and parental figures, it has been contended that the more grounded the negative effect of a malady on life span, the higher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expenses would be after disposal. Fruitful treatment of lethal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disease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s leaves less space for life span increases because of successful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prevention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yet more space for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funds (</w:t>
      </w:r>
      <w:proofErr w:type="spellStart"/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>Kampen</w:t>
      </w:r>
      <w:proofErr w:type="spellEnd"/>
      <w:r w:rsidR="00C91D82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et al, 2014). </w:t>
      </w:r>
    </w:p>
    <w:p w:rsidR="00C91D82" w:rsidRPr="001D2921" w:rsidRDefault="00C91D82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challenge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new introduction models for or existing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system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of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medical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preparing is that drug and therapeutic training staying clumsy in setting up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advancement and sickness aversion as a high need in the United States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framework. </w:t>
      </w:r>
    </w:p>
    <w:p w:rsidR="00C91D82" w:rsidRPr="001D2921" w:rsidRDefault="00C91D82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Besides, it has been contended that ACA everything it did was give crisis access to the individuals who had critical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medical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needs. Absence of openness, high expenses and absence of auspicious accessibility of doctors who took an interest in the ACA trades constrained patients from getting preventive consideration (Campbell, 2017). </w:t>
      </w:r>
    </w:p>
    <w:p w:rsidR="00891CDD" w:rsidRPr="001D2921" w:rsidRDefault="00891CDD" w:rsidP="004049AB">
      <w:pPr>
        <w:spacing w:before="24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1D2921">
        <w:rPr>
          <w:rFonts w:ascii="Times New Roman" w:hAnsi="Times New Roman" w:cs="Times New Roman"/>
          <w:sz w:val="24"/>
          <w:szCs w:val="24"/>
        </w:rPr>
        <w:t xml:space="preserve">Lastly, it has been shown that there is a lower compensation for preventative medicine residency </w:t>
      </w:r>
      <w:proofErr w:type="spellStart"/>
      <w:r w:rsidRPr="001D2921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1D2921">
        <w:rPr>
          <w:rFonts w:ascii="Times New Roman" w:hAnsi="Times New Roman" w:cs="Times New Roman"/>
          <w:sz w:val="24"/>
          <w:szCs w:val="24"/>
        </w:rPr>
        <w:t xml:space="preserve"> and physicians; because there is relatively less funding for active prevention work (Hackett, 2013).</w:t>
      </w:r>
    </w:p>
    <w:p w:rsidR="004049AB" w:rsidRPr="001D2921" w:rsidRDefault="004049AB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91D82" w:rsidRPr="001D2921" w:rsidRDefault="00891CDD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Conclusion</w:t>
      </w:r>
    </w:p>
    <w:p w:rsidR="00DD139B" w:rsidRPr="001D2921" w:rsidRDefault="00C91D82" w:rsidP="004049AB">
      <w:pPr>
        <w:shd w:val="clear" w:color="auto" w:fill="FFFFFF"/>
        <w:spacing w:before="240" w:after="0" w:line="480" w:lineRule="auto"/>
        <w:ind w:right="45" w:firstLine="567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>There is a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n interaction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between 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preventive and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curative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. The more viable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curative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is, the more it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reduces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potential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increases of preventive care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On the other hand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, it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at the same time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opens a window of chance for </w:t>
      </w:r>
      <w:r w:rsidR="004049AB" w:rsidRPr="001D2921">
        <w:rPr>
          <w:rFonts w:ascii="Times New Roman" w:eastAsia="Times New Roman" w:hAnsi="Times New Roman" w:cs="Times New Roman"/>
          <w:bCs/>
          <w:sz w:val="24"/>
          <w:szCs w:val="24"/>
        </w:rPr>
        <w:t>reducing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costs. This should make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prevention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an extremely intriguing strategy point and furthermore a beneficial heading for safety net providers. For scientists the cooperation among preventive and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curative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is important for accurately assessing lifetime </w:t>
      </w:r>
      <w:r w:rsidR="00891CDD" w:rsidRPr="001D2921">
        <w:rPr>
          <w:rFonts w:ascii="Times New Roman" w:eastAsia="Times New Roman" w:hAnsi="Times New Roman" w:cs="Times New Roman"/>
          <w:bCs/>
          <w:sz w:val="24"/>
          <w:szCs w:val="24"/>
        </w:rPr>
        <w:t>healthcare</w:t>
      </w:r>
      <w:r w:rsidRPr="001D2921">
        <w:rPr>
          <w:rFonts w:ascii="Times New Roman" w:eastAsia="Times New Roman" w:hAnsi="Times New Roman" w:cs="Times New Roman"/>
          <w:bCs/>
          <w:sz w:val="24"/>
          <w:szCs w:val="24"/>
        </w:rPr>
        <w:t xml:space="preserve"> costs in light of the fact that generally the impact of anticipation on cost-viability might be overestimated.</w:t>
      </w:r>
    </w:p>
    <w:p w:rsidR="004049AB" w:rsidRPr="001D2921" w:rsidRDefault="004049AB" w:rsidP="004049AB">
      <w:pPr>
        <w:shd w:val="clear" w:color="auto" w:fill="FFFFFF"/>
        <w:spacing w:after="0" w:line="480" w:lineRule="auto"/>
        <w:ind w:right="45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49AB" w:rsidRPr="001D2921" w:rsidRDefault="004049AB" w:rsidP="004049AB">
      <w:pPr>
        <w:shd w:val="clear" w:color="auto" w:fill="FFFFFF"/>
        <w:spacing w:after="0" w:line="480" w:lineRule="auto"/>
        <w:ind w:right="45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49AB" w:rsidRPr="001D2921" w:rsidRDefault="004049AB" w:rsidP="004049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921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bookmarkStart w:id="0" w:name="_GoBack"/>
      <w:bookmarkEnd w:id="0"/>
      <w:r w:rsidRPr="001D2921">
        <w:rPr>
          <w:rFonts w:ascii="Times New Roman" w:hAnsi="Times New Roman" w:cs="Times New Roman"/>
          <w:b/>
          <w:sz w:val="24"/>
          <w:szCs w:val="24"/>
        </w:rPr>
        <w:t>s</w:t>
      </w:r>
    </w:p>
    <w:p w:rsidR="004049AB" w:rsidRPr="001D2921" w:rsidRDefault="00764A81" w:rsidP="004049AB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>Campbell, K</w:t>
      </w:r>
      <w:r w:rsidR="004049AB"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. (2017). </w:t>
      </w:r>
      <w:r w:rsidR="004049AB" w:rsidRPr="001D2921">
        <w:rPr>
          <w:rFonts w:ascii="Times New Roman" w:hAnsi="Times New Roman" w:cs="Times New Roman"/>
          <w:sz w:val="24"/>
          <w:szCs w:val="24"/>
        </w:rPr>
        <w:t>Changing the Focus of Healthcare: From Treatment to Prevention. Retrieved from: https://drkevincampbellmd.wordpress.com/2017/02/13/changing-the-focus-of-healthcare-from-treatment-to-prevention/</w:t>
      </w:r>
    </w:p>
    <w:p w:rsidR="004049AB" w:rsidRPr="001D2921" w:rsidRDefault="004049AB" w:rsidP="004049AB">
      <w:pPr>
        <w:spacing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D2921">
        <w:rPr>
          <w:rFonts w:ascii="Times New Roman" w:hAnsi="Times New Roman" w:cs="Times New Roman"/>
          <w:sz w:val="24"/>
          <w:szCs w:val="24"/>
        </w:rPr>
        <w:t xml:space="preserve">Hackett, </w:t>
      </w:r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M.  (2013) Prevention vs. Treatment: What’s The Right Balance</w:t>
      </w:r>
      <w:proofErr w:type="gramStart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?,</w:t>
      </w:r>
      <w:proofErr w:type="gramEnd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Critical Public Health, 23:4, 503-504, DOI: 10.1080/09581596.2013.776220 </w:t>
      </w:r>
    </w:p>
    <w:p w:rsidR="004049AB" w:rsidRPr="001D2921" w:rsidRDefault="004049AB" w:rsidP="004049AB">
      <w:pPr>
        <w:spacing w:line="480" w:lineRule="auto"/>
        <w:ind w:left="567" w:hanging="567"/>
        <w:rPr>
          <w:rStyle w:val="mixed-citation"/>
          <w:rFonts w:ascii="Times New Roman" w:hAnsi="Times New Roman" w:cs="Times New Roman"/>
          <w:sz w:val="24"/>
          <w:szCs w:val="24"/>
        </w:rPr>
      </w:pP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HealthyPeople.gov. </w:t>
      </w:r>
      <w:r w:rsidR="00724D55" w:rsidRPr="001D2921">
        <w:rPr>
          <w:rStyle w:val="mixed-citation"/>
          <w:rFonts w:ascii="Times New Roman" w:hAnsi="Times New Roman" w:cs="Times New Roman"/>
          <w:sz w:val="24"/>
          <w:szCs w:val="24"/>
        </w:rPr>
        <w:t>Retrieved from</w:t>
      </w: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: </w:t>
      </w: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>http://healthypeople.gov</w:t>
      </w:r>
    </w:p>
    <w:p w:rsidR="004049AB" w:rsidRPr="001D2921" w:rsidRDefault="004049AB" w:rsidP="004049AB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D2921">
        <w:rPr>
          <w:rFonts w:ascii="Times New Roman" w:hAnsi="Times New Roman" w:cs="Times New Roman"/>
          <w:sz w:val="24"/>
          <w:szCs w:val="24"/>
        </w:rPr>
        <w:t>Kampen</w:t>
      </w:r>
      <w:proofErr w:type="spellEnd"/>
      <w:r w:rsidRPr="001D2921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1D2921">
        <w:rPr>
          <w:rFonts w:ascii="Times New Roman" w:hAnsi="Times New Roman" w:cs="Times New Roman"/>
          <w:sz w:val="24"/>
          <w:szCs w:val="24"/>
        </w:rPr>
        <w:t>Engelfriet</w:t>
      </w:r>
      <w:proofErr w:type="spellEnd"/>
      <w:r w:rsidRPr="001D2921">
        <w:rPr>
          <w:rFonts w:ascii="Times New Roman" w:hAnsi="Times New Roman" w:cs="Times New Roman"/>
          <w:sz w:val="24"/>
          <w:szCs w:val="24"/>
        </w:rPr>
        <w:t>, P. M., &amp; van Baal, P. H. (2014).</w:t>
      </w:r>
      <w:proofErr w:type="gramEnd"/>
      <w:r w:rsidRPr="001D2921">
        <w:rPr>
          <w:rFonts w:ascii="Times New Roman" w:hAnsi="Times New Roman" w:cs="Times New Roman"/>
          <w:sz w:val="24"/>
          <w:szCs w:val="24"/>
        </w:rPr>
        <w:t xml:space="preserve"> Disease Prevention: Saving Lives Or Reducing Health Care Costs</w:t>
      </w:r>
      <w:proofErr w:type="gramStart"/>
      <w:r w:rsidRPr="001D2921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1D29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D2921">
        <w:rPr>
          <w:rFonts w:ascii="Times New Roman" w:hAnsi="Times New Roman" w:cs="Times New Roman"/>
          <w:i/>
          <w:iCs/>
          <w:sz w:val="24"/>
          <w:szCs w:val="24"/>
        </w:rPr>
        <w:t>PloS</w:t>
      </w:r>
      <w:proofErr w:type="spellEnd"/>
      <w:r w:rsidRPr="001D2921">
        <w:rPr>
          <w:rFonts w:ascii="Times New Roman" w:hAnsi="Times New Roman" w:cs="Times New Roman"/>
          <w:i/>
          <w:iCs/>
          <w:sz w:val="24"/>
          <w:szCs w:val="24"/>
        </w:rPr>
        <w:t xml:space="preserve"> one</w:t>
      </w:r>
      <w:r w:rsidRPr="001D2921">
        <w:rPr>
          <w:rFonts w:ascii="Times New Roman" w:hAnsi="Times New Roman" w:cs="Times New Roman"/>
          <w:sz w:val="24"/>
          <w:szCs w:val="24"/>
        </w:rPr>
        <w:t xml:space="preserve">, </w:t>
      </w:r>
      <w:r w:rsidRPr="001D2921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1D2921">
        <w:rPr>
          <w:rFonts w:ascii="Times New Roman" w:hAnsi="Times New Roman" w:cs="Times New Roman"/>
          <w:sz w:val="24"/>
          <w:szCs w:val="24"/>
        </w:rPr>
        <w:t>(8), e104469.</w:t>
      </w:r>
      <w:proofErr w:type="gramEnd"/>
      <w:r w:rsidRPr="001D2921">
        <w:rPr>
          <w:rFonts w:ascii="Times New Roman" w:hAnsi="Times New Roman" w:cs="Times New Roman"/>
          <w:sz w:val="24"/>
          <w:szCs w:val="24"/>
        </w:rPr>
        <w:t xml:space="preserve"> doi:10.1371/journal.pone.0104469</w:t>
      </w:r>
    </w:p>
    <w:p w:rsidR="004049AB" w:rsidRPr="001D2921" w:rsidRDefault="004049AB" w:rsidP="004049AB">
      <w:pPr>
        <w:spacing w:after="0" w:line="480" w:lineRule="auto"/>
        <w:ind w:left="567" w:hanging="567"/>
        <w:rPr>
          <w:rStyle w:val="mixed-citation"/>
          <w:rFonts w:ascii="Times New Roman" w:hAnsi="Times New Roman" w:cs="Times New Roman"/>
          <w:sz w:val="24"/>
          <w:szCs w:val="24"/>
        </w:rPr>
      </w:pPr>
      <w:proofErr w:type="gramStart"/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Task Force on Community Preventive Services </w:t>
      </w:r>
      <w:r w:rsidRPr="001D2921">
        <w:rPr>
          <w:rStyle w:val="ref-journal"/>
          <w:rFonts w:ascii="Times New Roman" w:hAnsi="Times New Roman" w:cs="Times New Roman"/>
          <w:sz w:val="24"/>
          <w:szCs w:val="24"/>
        </w:rPr>
        <w:t>Guide to Community Preventive Services</w:t>
      </w: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>.</w:t>
      </w:r>
      <w:proofErr w:type="gramEnd"/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 </w:t>
      </w:r>
      <w:r w:rsidR="00724D55" w:rsidRPr="001D2921">
        <w:rPr>
          <w:rStyle w:val="mixed-citation"/>
          <w:rFonts w:ascii="Times New Roman" w:hAnsi="Times New Roman" w:cs="Times New Roman"/>
          <w:sz w:val="24"/>
          <w:szCs w:val="24"/>
        </w:rPr>
        <w:t>Retrieved from</w:t>
      </w: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 xml:space="preserve">: </w:t>
      </w:r>
      <w:r w:rsidRPr="001D2921">
        <w:rPr>
          <w:rStyle w:val="mixed-citation"/>
          <w:rFonts w:ascii="Times New Roman" w:hAnsi="Times New Roman" w:cs="Times New Roman"/>
          <w:sz w:val="24"/>
          <w:szCs w:val="24"/>
        </w:rPr>
        <w:t>http://www.thecommunityguide.org/index.html</w:t>
      </w:r>
    </w:p>
    <w:p w:rsidR="004049AB" w:rsidRPr="0000555E" w:rsidRDefault="004049AB" w:rsidP="004049AB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The UCLA Health Impact Assessment Clearinghouse Learning and Information Center.</w:t>
      </w:r>
      <w:proofErr w:type="gramEnd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4D55"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Retrieved from</w:t>
      </w:r>
      <w:r w:rsidR="00306D21"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: http://www.hiaguide.org</w:t>
      </w:r>
    </w:p>
    <w:p w:rsidR="004049AB" w:rsidRPr="0000555E" w:rsidRDefault="004049AB" w:rsidP="004049AB">
      <w:pPr>
        <w:spacing w:after="0" w:line="48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gramStart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U.S. Preventive Services Task Force Prevention and Care Management.</w:t>
      </w:r>
      <w:proofErr w:type="gramEnd"/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24D55"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Retrieved from</w:t>
      </w:r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http://www.ahrq.gov/clinic/prevenix.htm</w:t>
      </w:r>
      <w:r w:rsidR="00306D21" w:rsidRPr="001D2921"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</w:p>
    <w:p w:rsidR="004049AB" w:rsidRPr="001D2921" w:rsidRDefault="004049AB" w:rsidP="004049A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49AB" w:rsidRPr="001D2921" w:rsidRDefault="004049AB" w:rsidP="004049AB">
      <w:pPr>
        <w:shd w:val="clear" w:color="auto" w:fill="FFFFFF"/>
        <w:spacing w:after="0" w:line="480" w:lineRule="auto"/>
        <w:ind w:right="45"/>
        <w:outlineLvl w:val="2"/>
        <w:rPr>
          <w:rFonts w:ascii="Times New Roman" w:hAnsi="Times New Roman" w:cs="Times New Roman"/>
          <w:sz w:val="24"/>
          <w:szCs w:val="24"/>
        </w:rPr>
      </w:pPr>
    </w:p>
    <w:sectPr w:rsidR="004049AB" w:rsidRPr="001D2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9B"/>
    <w:rsid w:val="001D2921"/>
    <w:rsid w:val="00306D21"/>
    <w:rsid w:val="004049AB"/>
    <w:rsid w:val="004228AF"/>
    <w:rsid w:val="00724D55"/>
    <w:rsid w:val="00760EF3"/>
    <w:rsid w:val="00764A81"/>
    <w:rsid w:val="00886890"/>
    <w:rsid w:val="00891CDD"/>
    <w:rsid w:val="00B9525D"/>
    <w:rsid w:val="00BB3596"/>
    <w:rsid w:val="00C91D82"/>
    <w:rsid w:val="00DD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9AB"/>
    <w:rPr>
      <w:color w:val="0000FF"/>
      <w:u w:val="single"/>
    </w:rPr>
  </w:style>
  <w:style w:type="character" w:customStyle="1" w:styleId="mixed-citation">
    <w:name w:val="mixed-citation"/>
    <w:basedOn w:val="DefaultParagraphFont"/>
    <w:rsid w:val="004049AB"/>
  </w:style>
  <w:style w:type="character" w:customStyle="1" w:styleId="ref-journal">
    <w:name w:val="ref-journal"/>
    <w:basedOn w:val="DefaultParagraphFont"/>
    <w:rsid w:val="004049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9AB"/>
    <w:rPr>
      <w:color w:val="0000FF"/>
      <w:u w:val="single"/>
    </w:rPr>
  </w:style>
  <w:style w:type="character" w:customStyle="1" w:styleId="mixed-citation">
    <w:name w:val="mixed-citation"/>
    <w:basedOn w:val="DefaultParagraphFont"/>
    <w:rsid w:val="004049AB"/>
  </w:style>
  <w:style w:type="character" w:customStyle="1" w:styleId="ref-journal">
    <w:name w:val="ref-journal"/>
    <w:basedOn w:val="DefaultParagraphFont"/>
    <w:rsid w:val="00404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5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ckboard.ccu.edu/webapps/assignment/uploadAssignment?content_id=_1479427_1&amp;course_id=_53924_1&amp;group_id=&amp;mode=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Falichia Williams</dc:creator>
  <cp:lastModifiedBy>User</cp:lastModifiedBy>
  <cp:revision>7</cp:revision>
  <dcterms:created xsi:type="dcterms:W3CDTF">2018-11-10T06:02:00Z</dcterms:created>
  <dcterms:modified xsi:type="dcterms:W3CDTF">2018-11-10T06:06:00Z</dcterms:modified>
</cp:coreProperties>
</file>